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5E464D" w:rsidTr="003366C3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5E464D" w:rsidRDefault="005E464D" w:rsidP="003366C3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63D2DCF1" wp14:editId="2B72E950">
                  <wp:extent cx="1866900" cy="33337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4D" w:rsidTr="003366C3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5E464D" w:rsidRDefault="005E464D" w:rsidP="003366C3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26D5AC8" wp14:editId="684097C0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715" t="10160" r="1270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6vJwIAAGEEAAAOAAAAZHJzL2Uyb0RvYy54bWysVE2P2jAQvVfqf7B8hyQQWDYirKoEeqEt&#10;0m5/gLEdYtWxLdsQUNX/3rH5aOketqrKwdiemed5M28yfzp2Eh24dUKrEmfDFCOuqGZC7Ur89WU1&#10;mGHkPFGMSK14iU/c4afF+3fz3hR8pFstGbcIQJQrelPi1ntTJImjLe+IG2rDFRgbbTvi4Wh3CbOk&#10;B/ROJqM0nSa9tsxYTblzcFufjXgR8ZuGU/+laRz3SJYYcvNxtXHdhjVZzEmxs8S0gl7SIP+QRUeE&#10;gkdvUDXxBO2teAXVCWq1040fUt0lumkE5ZEDsMnSP9g8t8TwyAWK48ytTO7/wdLPh41FgpV4jJEi&#10;HbRoLRRHo1CZ3rgCHCq1sYEbPapns9b0m0NKVy1ROx4zfDkZCMtCRHIXEg7OAP62/6QZ+JC917FM&#10;x8Z2ARIKgI6xG6dbN/jRIwqX+eRhNp5gRME0hU2AJ8U10ljnP3LdobApsYSkIzI5rJ0/u15dwkNK&#10;r4SUcE8KqVAPdLOHSQxwWgoWjMHm7G5bSYsOJOgl/i7v3rlZvVcsgrWcsKViyMcaKNA4Duiuw0hy&#10;mAjYRD9PhHzbD/hJFfKAGgCNy+4spO+P6eNytpzlg3w0XQ7ytK4HH1ZVPpiugEo9rquqzn4ESlle&#10;tIIxrgKrq6iz/O9Ecxmvsxxvsr6VL7lHjy2BZK//MekogtD3s4K2mp02NrQk6AF0HJ0vMxcG5fdz&#10;9Pr1ZVj8BAAA//8DAFBLAwQUAAYACAAAACEA6LxcReIAAAANAQAADwAAAGRycy9kb3ducmV2Lnht&#10;bEyPy07DMBBF90j8gzVIbFDqxASUhjhVBUJCYtXHgqUTT5OIeBzZbhv4egybspyZozvnVqvZjOyE&#10;zg+WJGSLFBhSa/VAnYT97jUpgPmgSKvREkr4Qg+r+vqqUqW2Z9rgaRs6FkPIl0pCH8JUcu7bHo3y&#10;CzshxdvBOqNCHF3HtVPnGG5GLtL0kRs1UPzQqwmfe2w/t0cjQUx6UN/LrnkZN3fr3ceb03v3LuXt&#10;zbx+AhZwDhcYfvWjOtTRqbFH0p6NEpKsyO8jKyEvRA4sIkmWCQGs+Vs9AK8r/r9F/QMAAP//AwBQ&#10;SwECLQAUAAYACAAAACEAtoM4kv4AAADhAQAAEwAAAAAAAAAAAAAAAAAAAAAAW0NvbnRlbnRfVHlw&#10;ZXNdLnhtbFBLAQItABQABgAIAAAAIQA4/SH/1gAAAJQBAAALAAAAAAAAAAAAAAAAAC8BAABfcmVs&#10;cy8ucmVsc1BLAQItABQABgAIAAAAIQBekj6vJwIAAGEEAAAOAAAAAAAAAAAAAAAAAC4CAABkcnMv&#10;ZTJvRG9jLnhtbFBLAQItABQABgAIAAAAIQDovFxF4gAAAA0BAAAPAAAAAAAAAAAAAAAAAIEEAABk&#10;cnMvZG93bnJldi54bWxQSwUGAAAAAAQABADzAAAAkA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 xml:space="preserve">                                              EKSAMEN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4207 FERSKVANNSFISKE OG VA</w:t>
      </w:r>
      <w:r w:rsidRPr="004C0533">
        <w:rPr>
          <w:b/>
          <w:sz w:val="28"/>
          <w:lang w:val="nn-NO"/>
        </w:rPr>
        <w:t>N</w:t>
      </w:r>
      <w:r>
        <w:rPr>
          <w:b/>
          <w:sz w:val="28"/>
          <w:lang w:val="nn-NO"/>
        </w:rPr>
        <w:t>NRESSURSFORVALTNING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 xml:space="preserve">                                               </w:t>
      </w:r>
      <w:r>
        <w:rPr>
          <w:b/>
          <w:sz w:val="28"/>
          <w:lang w:val="nn-NO"/>
        </w:rPr>
        <w:t>2</w:t>
      </w:r>
      <w:r w:rsidR="00E91267">
        <w:rPr>
          <w:b/>
          <w:sz w:val="28"/>
          <w:lang w:val="nn-NO"/>
        </w:rPr>
        <w:t>0</w:t>
      </w:r>
      <w:r>
        <w:rPr>
          <w:b/>
          <w:sz w:val="28"/>
          <w:lang w:val="nn-NO"/>
        </w:rPr>
        <w:t>.11</w:t>
      </w:r>
      <w:r w:rsidRPr="0084247C">
        <w:rPr>
          <w:b/>
          <w:sz w:val="28"/>
          <w:lang w:val="nn-NO"/>
        </w:rPr>
        <w:t>.20</w:t>
      </w:r>
      <w:r>
        <w:rPr>
          <w:b/>
          <w:sz w:val="28"/>
          <w:lang w:val="nn-NO"/>
        </w:rPr>
        <w:t>1</w:t>
      </w:r>
      <w:r w:rsidR="00E91267">
        <w:rPr>
          <w:b/>
          <w:sz w:val="28"/>
          <w:lang w:val="nn-NO"/>
        </w:rPr>
        <w:t>4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09:00</w:t>
      </w:r>
      <w:r w:rsidRPr="0084247C">
        <w:rPr>
          <w:sz w:val="28"/>
          <w:lang w:val="nn-NO"/>
        </w:rPr>
        <w:t>-1</w:t>
      </w:r>
      <w:r>
        <w:rPr>
          <w:sz w:val="28"/>
          <w:lang w:val="nn-NO"/>
        </w:rPr>
        <w:t>3:00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Målform: 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  <w:t>Bokmål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C43112">
        <w:rPr>
          <w:sz w:val="28"/>
          <w:lang w:val="nn-NO"/>
        </w:rPr>
        <w:t>3</w:t>
      </w:r>
      <w:r>
        <w:rPr>
          <w:sz w:val="28"/>
          <w:lang w:val="nn-NO"/>
        </w:rPr>
        <w:t xml:space="preserve"> (inkludert forsiden)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E464D" w:rsidRPr="00B31C11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B31C11">
        <w:rPr>
          <w:sz w:val="28"/>
        </w:rPr>
        <w:t>Hjelpemiddel:</w:t>
      </w:r>
      <w:r>
        <w:rPr>
          <w:sz w:val="28"/>
        </w:rPr>
        <w:t xml:space="preserve">     K</w:t>
      </w:r>
      <w:r w:rsidRPr="00B31C11">
        <w:rPr>
          <w:sz w:val="28"/>
        </w:rPr>
        <w:t>alkulator (</w:t>
      </w:r>
      <w:r>
        <w:rPr>
          <w:sz w:val="28"/>
        </w:rPr>
        <w:t>ut</w:t>
      </w:r>
      <w:r w:rsidRPr="00B31C11">
        <w:rPr>
          <w:sz w:val="28"/>
        </w:rPr>
        <w:t>levere</w:t>
      </w:r>
      <w:r>
        <w:rPr>
          <w:sz w:val="28"/>
        </w:rPr>
        <w:t>r egne HiT kalkulatorer)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Merknader: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 xml:space="preserve">        Ingen</w:t>
      </w:r>
      <w:r w:rsidRPr="0084247C">
        <w:rPr>
          <w:sz w:val="28"/>
          <w:lang w:val="nn-NO"/>
        </w:rPr>
        <w:tab/>
        <w:t xml:space="preserve">                              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</w:t>
      </w:r>
      <w:r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 </w:t>
      </w:r>
    </w:p>
    <w:p w:rsidR="005E464D" w:rsidRPr="0084247C" w:rsidRDefault="005E464D" w:rsidP="005E464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E464D" w:rsidRPr="0084247C" w:rsidRDefault="005E464D" w:rsidP="005E464D">
      <w:pPr>
        <w:widowControl w:val="0"/>
        <w:ind w:left="-567" w:right="311" w:hanging="142"/>
        <w:rPr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studentweb.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5E464D" w:rsidRPr="0084247C" w:rsidTr="003366C3">
        <w:tc>
          <w:tcPr>
            <w:tcW w:w="709" w:type="dxa"/>
          </w:tcPr>
          <w:p w:rsidR="005E464D" w:rsidRPr="0084247C" w:rsidRDefault="005E464D" w:rsidP="003366C3">
            <w:pPr>
              <w:pStyle w:val="Bunntekst"/>
              <w:ind w:left="-57"/>
              <w:rPr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0DB24455" wp14:editId="0AF41AB1">
                  <wp:extent cx="361950" cy="304800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E464D" w:rsidRPr="0084247C" w:rsidRDefault="005E464D" w:rsidP="003366C3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  <w:lang w:val="nn-NO"/>
              </w:rPr>
            </w:pPr>
            <w:r>
              <w:rPr>
                <w:rFonts w:ascii="GillSans" w:hAnsi="GillSans"/>
                <w:b/>
                <w:sz w:val="16"/>
                <w:lang w:val="nn-NO"/>
              </w:rPr>
              <w:t>Fakultet for A</w:t>
            </w:r>
            <w:r w:rsidRPr="0084247C">
              <w:rPr>
                <w:rFonts w:ascii="GillSans" w:hAnsi="GillSans"/>
                <w:b/>
                <w:sz w:val="16"/>
                <w:lang w:val="nn-NO"/>
              </w:rPr>
              <w:t>llmennvitskaplege fag</w:t>
            </w:r>
            <w:r w:rsidRPr="0084247C">
              <w:rPr>
                <w:rFonts w:ascii="GillSans" w:hAnsi="GillSans"/>
                <w:sz w:val="16"/>
                <w:lang w:val="nn-NO"/>
              </w:rPr>
              <w:t>,</w:t>
            </w:r>
            <w:r w:rsidRPr="0084247C">
              <w:rPr>
                <w:rFonts w:ascii="GillSans" w:hAnsi="GillSans"/>
                <w:b/>
                <w:sz w:val="16"/>
                <w:lang w:val="nn-NO"/>
              </w:rPr>
              <w:t xml:space="preserve">  </w:t>
            </w:r>
          </w:p>
        </w:tc>
      </w:tr>
    </w:tbl>
    <w:p w:rsidR="005E464D" w:rsidRDefault="005E46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91267" w:rsidRPr="00C43112" w:rsidRDefault="00E91267" w:rsidP="00E91267">
      <w:pPr>
        <w:rPr>
          <w:b/>
          <w:sz w:val="28"/>
          <w:szCs w:val="28"/>
        </w:rPr>
      </w:pPr>
      <w:r w:rsidRPr="00C43112">
        <w:rPr>
          <w:b/>
          <w:sz w:val="28"/>
          <w:szCs w:val="28"/>
        </w:rPr>
        <w:lastRenderedPageBreak/>
        <w:t xml:space="preserve">Oppgave 1 </w:t>
      </w:r>
      <w:r w:rsidR="00C43112">
        <w:rPr>
          <w:b/>
          <w:sz w:val="28"/>
          <w:szCs w:val="28"/>
        </w:rPr>
        <w:t xml:space="preserve">- </w:t>
      </w:r>
      <w:r w:rsidRPr="00C43112">
        <w:rPr>
          <w:b/>
          <w:sz w:val="28"/>
          <w:szCs w:val="28"/>
        </w:rPr>
        <w:t>Forklar ulike definisjoner og termer</w:t>
      </w:r>
    </w:p>
    <w:p w:rsidR="00E91267" w:rsidRPr="00C43112" w:rsidRDefault="00E91267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1a) Hva menes med modallengden for et garn, og hvordan finner du denne</w:t>
      </w:r>
      <w:r w:rsidR="001242D5">
        <w:rPr>
          <w:sz w:val="24"/>
          <w:szCs w:val="24"/>
        </w:rPr>
        <w:t>?</w:t>
      </w:r>
    </w:p>
    <w:p w:rsidR="00E91267" w:rsidRPr="00C43112" w:rsidRDefault="00E91267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1b) Hva menes med anadrom og katadrom fisk?</w:t>
      </w:r>
    </w:p>
    <w:p w:rsidR="00E91267" w:rsidRPr="00C43112" w:rsidRDefault="00E91267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 xml:space="preserve">1c) Karpefisken karuss er den eneste kjente vertebraten som har </w:t>
      </w:r>
      <w:r w:rsidR="001242D5">
        <w:rPr>
          <w:sz w:val="24"/>
          <w:szCs w:val="24"/>
        </w:rPr>
        <w:t xml:space="preserve">det vi </w:t>
      </w:r>
      <w:r w:rsidRPr="00E32FF6">
        <w:rPr>
          <w:sz w:val="24"/>
          <w:szCs w:val="24"/>
        </w:rPr>
        <w:t>kaller</w:t>
      </w:r>
      <w:r w:rsidRPr="00E32FF6">
        <w:rPr>
          <w:sz w:val="24"/>
          <w:szCs w:val="24"/>
          <w:u w:val="single"/>
        </w:rPr>
        <w:t xml:space="preserve"> indusert forsvar</w:t>
      </w:r>
      <w:r w:rsidRPr="00C43112">
        <w:rPr>
          <w:sz w:val="24"/>
          <w:szCs w:val="24"/>
        </w:rPr>
        <w:t xml:space="preserve">. Hva betyr dette? </w:t>
      </w:r>
    </w:p>
    <w:p w:rsidR="00E91267" w:rsidRPr="00C43112" w:rsidRDefault="00E91267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1d) I forbindelse med vannkraftreguleringer er det blitt mer og mere vanlig med effektkjøring (hydropeaking). Hva betyr dette?</w:t>
      </w:r>
    </w:p>
    <w:p w:rsidR="00E91267" w:rsidRPr="00C43112" w:rsidRDefault="00E91267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1e) Forklar hva som er hovedforskjellen mellom physostom og physoclist svømmerblære.</w:t>
      </w:r>
    </w:p>
    <w:p w:rsidR="00B12CBB" w:rsidRDefault="00B12CBB" w:rsidP="00E91267">
      <w:pPr>
        <w:rPr>
          <w:b/>
        </w:rPr>
      </w:pPr>
    </w:p>
    <w:p w:rsidR="00E91267" w:rsidRPr="00C43112" w:rsidRDefault="00E91267" w:rsidP="00E91267">
      <w:pPr>
        <w:rPr>
          <w:b/>
          <w:sz w:val="28"/>
          <w:szCs w:val="28"/>
        </w:rPr>
      </w:pPr>
      <w:r w:rsidRPr="00C43112">
        <w:rPr>
          <w:b/>
          <w:sz w:val="28"/>
          <w:szCs w:val="28"/>
        </w:rPr>
        <w:t xml:space="preserve">Oppgave 2 </w:t>
      </w:r>
      <w:r w:rsidR="00C43112">
        <w:rPr>
          <w:b/>
          <w:sz w:val="28"/>
          <w:szCs w:val="28"/>
        </w:rPr>
        <w:t xml:space="preserve">- </w:t>
      </w:r>
      <w:r w:rsidRPr="00C43112">
        <w:rPr>
          <w:b/>
          <w:sz w:val="28"/>
          <w:szCs w:val="28"/>
        </w:rPr>
        <w:t>Fisk</w:t>
      </w:r>
    </w:p>
    <w:p w:rsidR="00E91267" w:rsidRPr="00C43112" w:rsidRDefault="00E91267" w:rsidP="00B12CBB">
      <w:pPr>
        <w:rPr>
          <w:sz w:val="24"/>
          <w:szCs w:val="24"/>
        </w:rPr>
      </w:pPr>
      <w:r w:rsidRPr="00C43112">
        <w:rPr>
          <w:sz w:val="24"/>
          <w:szCs w:val="24"/>
        </w:rPr>
        <w:t>2a) Du ønsker å sette ut brunørret i en innsjø ved hytta de. Du har fått tillatelse av Fylkesmannen, under forutsetning av at det settes ut stedegen fisk. Nevn noen av de viktigste faktorene for å få et godt resultat av denne fiskeutsettingen.</w:t>
      </w:r>
      <w:r w:rsidR="00B12CBB" w:rsidRPr="00C43112">
        <w:rPr>
          <w:sz w:val="24"/>
          <w:szCs w:val="24"/>
        </w:rPr>
        <w:t xml:space="preserve"> </w:t>
      </w:r>
    </w:p>
    <w:p w:rsidR="00E91267" w:rsidRPr="00C43112" w:rsidRDefault="00B12CBB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2</w:t>
      </w:r>
      <w:r w:rsidR="00E91267" w:rsidRPr="00C43112">
        <w:rPr>
          <w:sz w:val="24"/>
          <w:szCs w:val="24"/>
        </w:rPr>
        <w:t>b) Alle fiskene du satte ut ble merket slik at du senere kunne sjekke fordelingen mellom villfisk og utsatt fisk i innsjøen. Du satte ut 1000 merkede settefisk. Året etter gjennomførte du et prøvefiske med garn. Da fikk du til sammen 50 fisk</w:t>
      </w:r>
      <w:r w:rsidR="00E32FF6">
        <w:rPr>
          <w:sz w:val="24"/>
          <w:szCs w:val="24"/>
        </w:rPr>
        <w:t>,</w:t>
      </w:r>
      <w:r w:rsidR="00E91267" w:rsidRPr="00C43112">
        <w:rPr>
          <w:sz w:val="24"/>
          <w:szCs w:val="24"/>
        </w:rPr>
        <w:t xml:space="preserve"> og 20 av disse var merket. Hvor stor er den teoretiske bestanden av brunørret (summen av villfisk og settefisk) i innsjøen? (Vi antar null død</w:t>
      </w:r>
      <w:r w:rsidR="00612BD0">
        <w:rPr>
          <w:sz w:val="24"/>
          <w:szCs w:val="24"/>
        </w:rPr>
        <w:t>e</w:t>
      </w:r>
      <w:r w:rsidR="00E91267" w:rsidRPr="00C43112">
        <w:rPr>
          <w:sz w:val="24"/>
          <w:szCs w:val="24"/>
        </w:rPr>
        <w:t>lighet av u</w:t>
      </w:r>
      <w:r w:rsidR="001242D5">
        <w:rPr>
          <w:sz w:val="24"/>
          <w:szCs w:val="24"/>
        </w:rPr>
        <w:t>t</w:t>
      </w:r>
      <w:r w:rsidR="00E91267" w:rsidRPr="00C43112">
        <w:rPr>
          <w:sz w:val="24"/>
          <w:szCs w:val="24"/>
        </w:rPr>
        <w:t>satt fisk fram til du gjennomførte prøvefiske)</w:t>
      </w:r>
      <w:r w:rsidR="001242D5">
        <w:rPr>
          <w:sz w:val="24"/>
          <w:szCs w:val="24"/>
        </w:rPr>
        <w:t>.</w:t>
      </w:r>
    </w:p>
    <w:p w:rsidR="00E91267" w:rsidRPr="00C43112" w:rsidRDefault="00B12CBB" w:rsidP="00E91267">
      <w:pPr>
        <w:rPr>
          <w:sz w:val="24"/>
          <w:szCs w:val="24"/>
        </w:rPr>
      </w:pPr>
      <w:r w:rsidRPr="00C43112">
        <w:rPr>
          <w:sz w:val="24"/>
          <w:szCs w:val="24"/>
        </w:rPr>
        <w:t>2</w:t>
      </w:r>
      <w:r w:rsidR="00E91267" w:rsidRPr="00C43112">
        <w:rPr>
          <w:sz w:val="24"/>
          <w:szCs w:val="24"/>
        </w:rPr>
        <w:t>c) Mye av spredningen av ørekyt på Hardangervidda skyldes utsatt fisk fra settefiskanlegg, hvor det på forhånd ikke har blitt sjekket godt nok om ørekyt var til stede i utsettingsmateriale. Om du raskt skulle sjekke om det var ørekyt i utsettingsmaterialet ditt av brunørret</w:t>
      </w:r>
      <w:r w:rsidRPr="00C43112">
        <w:rPr>
          <w:sz w:val="24"/>
          <w:szCs w:val="24"/>
        </w:rPr>
        <w:t xml:space="preserve">, hva ville du primært sett etter av karakteriske </w:t>
      </w:r>
      <w:r w:rsidR="004948E7" w:rsidRPr="00C43112">
        <w:rPr>
          <w:sz w:val="24"/>
          <w:szCs w:val="24"/>
        </w:rPr>
        <w:t xml:space="preserve">utseendemessige forskjeller </w:t>
      </w:r>
      <w:r w:rsidRPr="00C43112">
        <w:rPr>
          <w:sz w:val="24"/>
          <w:szCs w:val="24"/>
        </w:rPr>
        <w:t>for å</w:t>
      </w:r>
      <w:r w:rsidR="00E91267" w:rsidRPr="00C43112">
        <w:rPr>
          <w:sz w:val="24"/>
          <w:szCs w:val="24"/>
        </w:rPr>
        <w:t xml:space="preserve"> skille ørekyt fra brunørret?</w:t>
      </w:r>
    </w:p>
    <w:p w:rsidR="00E91267" w:rsidRPr="00C43112" w:rsidRDefault="0005294C" w:rsidP="00E9126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91267" w:rsidRPr="00C43112">
        <w:rPr>
          <w:sz w:val="24"/>
          <w:szCs w:val="24"/>
        </w:rPr>
        <w:t>d) Hva er årsaken til at utsettinger av ørekyt har medført nedgang i brunørretbestanden i mange innsjøer og/eller at slike utsettinger har resultert i brunørret av dårligere kvalitet (mindre og magrere)</w:t>
      </w:r>
      <w:r w:rsidR="004948E7" w:rsidRPr="00C43112">
        <w:rPr>
          <w:sz w:val="24"/>
          <w:szCs w:val="24"/>
        </w:rPr>
        <w:t xml:space="preserve"> en</w:t>
      </w:r>
      <w:r w:rsidR="001242D5">
        <w:rPr>
          <w:sz w:val="24"/>
          <w:szCs w:val="24"/>
        </w:rPr>
        <w:t>n</w:t>
      </w:r>
      <w:r w:rsidR="004948E7" w:rsidRPr="00C43112">
        <w:rPr>
          <w:sz w:val="24"/>
          <w:szCs w:val="24"/>
        </w:rPr>
        <w:t xml:space="preserve"> før ørekyt ble introdusert</w:t>
      </w:r>
      <w:r w:rsidR="00E91267" w:rsidRPr="00C43112">
        <w:rPr>
          <w:sz w:val="24"/>
          <w:szCs w:val="24"/>
        </w:rPr>
        <w:t xml:space="preserve">? </w:t>
      </w:r>
    </w:p>
    <w:p w:rsidR="00E91267" w:rsidRPr="00C43112" w:rsidRDefault="0005294C" w:rsidP="00E9126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91267" w:rsidRPr="00C43112">
        <w:rPr>
          <w:sz w:val="24"/>
          <w:szCs w:val="24"/>
        </w:rPr>
        <w:t xml:space="preserve">e) Innvandringshistorisk tilhører ørekyt Skåne-Finnmarksfiskene, mens brunørret tilhører det vi kaller vestlige innvandrere.  Hvilken betydning har dette hatt for </w:t>
      </w:r>
      <w:r w:rsidR="00E32FF6">
        <w:rPr>
          <w:sz w:val="24"/>
          <w:szCs w:val="24"/>
        </w:rPr>
        <w:t xml:space="preserve">den </w:t>
      </w:r>
      <w:r w:rsidR="00E91267" w:rsidRPr="00C43112">
        <w:rPr>
          <w:sz w:val="24"/>
          <w:szCs w:val="24"/>
        </w:rPr>
        <w:t>naturlig</w:t>
      </w:r>
      <w:r w:rsidR="00E32FF6">
        <w:rPr>
          <w:sz w:val="24"/>
          <w:szCs w:val="24"/>
        </w:rPr>
        <w:t>e</w:t>
      </w:r>
      <w:r w:rsidR="00E91267" w:rsidRPr="00C43112">
        <w:rPr>
          <w:sz w:val="24"/>
          <w:szCs w:val="24"/>
        </w:rPr>
        <w:t xml:space="preserve"> spredning</w:t>
      </w:r>
      <w:r w:rsidR="00E32FF6">
        <w:rPr>
          <w:sz w:val="24"/>
          <w:szCs w:val="24"/>
        </w:rPr>
        <w:t>en</w:t>
      </w:r>
      <w:r w:rsidR="00E91267" w:rsidRPr="00C43112">
        <w:rPr>
          <w:sz w:val="24"/>
          <w:szCs w:val="24"/>
        </w:rPr>
        <w:t xml:space="preserve"> av disse fiskeartene i Norge?</w:t>
      </w:r>
    </w:p>
    <w:p w:rsidR="00E91267" w:rsidRPr="00C43112" w:rsidRDefault="0005294C" w:rsidP="00E9126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91267" w:rsidRPr="00C43112">
        <w:rPr>
          <w:sz w:val="24"/>
          <w:szCs w:val="24"/>
        </w:rPr>
        <w:t>f) Mens ørekyt gyter om våren, gyter brunørreten om høsten. Hva er den viktigste forskjellen mellom disse ulike gytestrategie</w:t>
      </w:r>
      <w:r w:rsidR="001242D5">
        <w:rPr>
          <w:sz w:val="24"/>
          <w:szCs w:val="24"/>
        </w:rPr>
        <w:t>ne</w:t>
      </w:r>
      <w:r w:rsidR="00E91267" w:rsidRPr="00C43112">
        <w:rPr>
          <w:sz w:val="24"/>
          <w:szCs w:val="24"/>
        </w:rPr>
        <w:t xml:space="preserve"> med hensyn til fekunditet og modningstid for egg?</w:t>
      </w:r>
    </w:p>
    <w:p w:rsidR="00E91267" w:rsidRPr="00C43112" w:rsidRDefault="00E91267" w:rsidP="00E91267">
      <w:pPr>
        <w:spacing w:line="240" w:lineRule="auto"/>
        <w:rPr>
          <w:rFonts w:cs="Arial"/>
          <w:b/>
          <w:sz w:val="28"/>
          <w:szCs w:val="28"/>
        </w:rPr>
      </w:pPr>
      <w:r w:rsidRPr="00C43112">
        <w:rPr>
          <w:rFonts w:cs="Arial"/>
          <w:b/>
          <w:sz w:val="28"/>
          <w:szCs w:val="28"/>
        </w:rPr>
        <w:lastRenderedPageBreak/>
        <w:t xml:space="preserve">Oppgave 3 </w:t>
      </w:r>
      <w:r w:rsidR="00C43112">
        <w:rPr>
          <w:rFonts w:cs="Arial"/>
          <w:b/>
          <w:sz w:val="28"/>
          <w:szCs w:val="28"/>
        </w:rPr>
        <w:t xml:space="preserve">- </w:t>
      </w:r>
      <w:r w:rsidRPr="00C43112">
        <w:rPr>
          <w:rFonts w:cs="Arial"/>
          <w:b/>
          <w:sz w:val="28"/>
          <w:szCs w:val="28"/>
        </w:rPr>
        <w:t>Vannkjemi</w:t>
      </w:r>
    </w:p>
    <w:p w:rsidR="00E91267" w:rsidRPr="00C43112" w:rsidRDefault="00E91267" w:rsidP="00E91267">
      <w:pPr>
        <w:spacing w:line="240" w:lineRule="auto"/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3.</w:t>
      </w:r>
      <w:r w:rsidR="001E4023">
        <w:rPr>
          <w:rFonts w:cs="Arial"/>
          <w:sz w:val="24"/>
          <w:szCs w:val="24"/>
        </w:rPr>
        <w:t>a</w:t>
      </w:r>
      <w:r w:rsidR="004948E7" w:rsidRPr="00C43112">
        <w:rPr>
          <w:rFonts w:cs="Arial"/>
          <w:sz w:val="24"/>
          <w:szCs w:val="24"/>
        </w:rPr>
        <w:t>)</w:t>
      </w:r>
      <w:r w:rsidRPr="00C43112">
        <w:rPr>
          <w:rFonts w:cs="Arial"/>
          <w:sz w:val="24"/>
          <w:szCs w:val="24"/>
        </w:rPr>
        <w:t xml:space="preserve"> Ionestyrken i mange norske ferskvann er normalt svært lav </w:t>
      </w:r>
      <w:r w:rsidR="00DB1643">
        <w:rPr>
          <w:rFonts w:cs="Arial"/>
          <w:sz w:val="24"/>
          <w:szCs w:val="24"/>
        </w:rPr>
        <w:t>sammenlignet med</w:t>
      </w:r>
      <w:r w:rsidRPr="00C43112">
        <w:rPr>
          <w:rFonts w:cs="Arial"/>
          <w:sz w:val="24"/>
          <w:szCs w:val="24"/>
        </w:rPr>
        <w:t xml:space="preserve"> mange andre land. Angi de viktigste grunnene for at det er slik.</w:t>
      </w:r>
    </w:p>
    <w:p w:rsidR="00E91267" w:rsidRPr="00C43112" w:rsidRDefault="00E91267" w:rsidP="00E91267">
      <w:pPr>
        <w:spacing w:line="240" w:lineRule="auto"/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 xml:space="preserve">I Tabell 1 under foreligger vannkjemiske årsmiddeldata for 2012, fra 2 feltforskningsstasjoner i Norge. </w:t>
      </w:r>
    </w:p>
    <w:p w:rsidR="00E91267" w:rsidRPr="00C43112" w:rsidRDefault="00E91267" w:rsidP="00E91267">
      <w:pPr>
        <w:rPr>
          <w:rFonts w:cs="Arial"/>
          <w:sz w:val="24"/>
          <w:szCs w:val="24"/>
        </w:rPr>
      </w:pPr>
      <w:r w:rsidRPr="00C43112">
        <w:rPr>
          <w:rFonts w:cs="Arial"/>
          <w:b/>
          <w:i/>
          <w:sz w:val="24"/>
          <w:szCs w:val="24"/>
        </w:rPr>
        <w:t>Tabell 1</w:t>
      </w:r>
      <w:r w:rsidRPr="00C43112">
        <w:rPr>
          <w:rFonts w:cs="Arial"/>
          <w:sz w:val="24"/>
          <w:szCs w:val="24"/>
        </w:rPr>
        <w:t>. V</w:t>
      </w:r>
      <w:r w:rsidRPr="00C43112">
        <w:rPr>
          <w:rFonts w:cs="Arial"/>
          <w:i/>
          <w:sz w:val="24"/>
          <w:szCs w:val="24"/>
        </w:rPr>
        <w:t>annkjemiske analyser av 3 innsjøer prøvetatt under fullsirkulasjon på høsten 2012. Skurvsjøen (432 m o.h.) i Hedemark Fylke, Homsevatn (142) m.o.h. i Rogaland fylke og Svartdalsvatnet (1018 m o.h.) i Oppland Fylke.</w:t>
      </w:r>
    </w:p>
    <w:tbl>
      <w:tblPr>
        <w:tblW w:w="93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618"/>
        <w:gridCol w:w="727"/>
        <w:gridCol w:w="727"/>
        <w:gridCol w:w="727"/>
        <w:gridCol w:w="727"/>
        <w:gridCol w:w="651"/>
        <w:gridCol w:w="687"/>
        <w:gridCol w:w="733"/>
        <w:gridCol w:w="727"/>
        <w:gridCol w:w="866"/>
        <w:gridCol w:w="896"/>
      </w:tblGrid>
      <w:tr w:rsidR="00E91267" w:rsidRPr="00E91267" w:rsidTr="00141C69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Lokalitet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pH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Ca</w:t>
            </w:r>
            <w:r w:rsidRPr="00E91267">
              <w:rPr>
                <w:rFonts w:eastAsia="Times New Roman" w:cs="Arial"/>
                <w:bCs/>
                <w:vertAlign w:val="superscript"/>
              </w:rPr>
              <w:t>2+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</w:t>
            </w:r>
            <w:r w:rsidRPr="00E91267">
              <w:rPr>
                <w:rFonts w:eastAsia="Times New Roman" w:cs="Arial"/>
                <w:bCs/>
                <w:vertAlign w:val="superscript"/>
              </w:rPr>
              <w:t>2+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Na</w:t>
            </w:r>
            <w:r w:rsidRPr="00E91267">
              <w:rPr>
                <w:rFonts w:eastAsia="Times New Roman" w:cs="Arial"/>
                <w:bCs/>
                <w:vertAlign w:val="superscript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K</w:t>
            </w:r>
            <w:r w:rsidRPr="00E91267">
              <w:rPr>
                <w:rFonts w:eastAsia="Times New Roman" w:cs="Arial"/>
                <w:bCs/>
                <w:vertAlign w:val="superscript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RAL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ILAL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SO</w:t>
            </w:r>
            <w:r w:rsidRPr="00E91267">
              <w:rPr>
                <w:rFonts w:eastAsia="Times New Roman" w:cs="Arial"/>
                <w:bCs/>
                <w:vertAlign w:val="subscript"/>
              </w:rPr>
              <w:t>4</w:t>
            </w:r>
            <w:r w:rsidRPr="00E91267">
              <w:rPr>
                <w:rFonts w:eastAsia="Times New Roman" w:cs="Arial"/>
                <w:bCs/>
                <w:vertAlign w:val="superscript"/>
              </w:rPr>
              <w:t>2-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Cl</w:t>
            </w:r>
            <w:r w:rsidRPr="00E91267">
              <w:rPr>
                <w:rFonts w:eastAsia="Times New Roman" w:cs="Arial"/>
                <w:bCs/>
                <w:vertAlign w:val="superscript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NO</w:t>
            </w:r>
            <w:r w:rsidRPr="00E91267">
              <w:rPr>
                <w:rFonts w:eastAsia="Times New Roman" w:cs="Arial"/>
                <w:bCs/>
                <w:vertAlign w:val="subscript"/>
              </w:rPr>
              <w:t>3</w:t>
            </w:r>
            <w:r w:rsidRPr="00E91267">
              <w:rPr>
                <w:rFonts w:eastAsia="Times New Roman" w:cs="Arial"/>
                <w:bCs/>
                <w:vertAlign w:val="superscript"/>
              </w:rPr>
              <w:t>-</w:t>
            </w:r>
            <w:r w:rsidRPr="00E91267">
              <w:rPr>
                <w:rFonts w:eastAsia="Times New Roman" w:cs="Arial"/>
                <w:bCs/>
              </w:rPr>
              <w:t>-N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TOC</w:t>
            </w:r>
          </w:p>
        </w:tc>
      </w:tr>
      <w:tr w:rsidR="00E91267" w:rsidRPr="00E91267" w:rsidTr="00141C69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ascii="Symbol" w:eastAsia="Times New Roman" w:hAnsi="Symbol" w:cs="Arial"/>
                <w:bCs/>
              </w:rPr>
              <w:t></w:t>
            </w:r>
            <w:r w:rsidRPr="00E91267">
              <w:rPr>
                <w:rFonts w:eastAsia="Times New Roman" w:cs="Arial"/>
                <w:bCs/>
              </w:rPr>
              <w:t>g/L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ascii="Symbol" w:eastAsia="Times New Roman" w:hAnsi="Symbol" w:cs="Arial"/>
                <w:bCs/>
              </w:rPr>
              <w:t></w:t>
            </w:r>
            <w:r w:rsidRPr="00E91267">
              <w:rPr>
                <w:rFonts w:eastAsia="Times New Roman" w:cs="Arial"/>
                <w:bCs/>
              </w:rPr>
              <w:t>g/L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mg/L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ascii="Symbol" w:eastAsia="Times New Roman" w:hAnsi="Symbol" w:cs="Arial"/>
                <w:bCs/>
              </w:rPr>
              <w:t></w:t>
            </w:r>
            <w:r w:rsidRPr="00E91267">
              <w:rPr>
                <w:rFonts w:eastAsia="Times New Roman" w:cs="Arial"/>
                <w:bCs/>
              </w:rPr>
              <w:t>g/L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E91267">
              <w:rPr>
                <w:rFonts w:eastAsia="Times New Roman" w:cs="Arial"/>
                <w:bCs/>
              </w:rPr>
              <w:t>mg C/L</w:t>
            </w:r>
          </w:p>
        </w:tc>
      </w:tr>
      <w:tr w:rsidR="00E91267" w:rsidRPr="00E91267" w:rsidTr="00141C69">
        <w:trPr>
          <w:trHeight w:val="2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Homsevt.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4.93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0.61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5.22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81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2.20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9.12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280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1.2</w:t>
            </w:r>
          </w:p>
        </w:tc>
      </w:tr>
      <w:tr w:rsidR="00E91267" w:rsidRPr="00E91267" w:rsidTr="00141C69">
        <w:trPr>
          <w:trHeight w:val="2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Svartdalsvt.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5.95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0.16</w:t>
            </w:r>
          </w:p>
        </w:tc>
      </w:tr>
      <w:tr w:rsidR="00E91267" w:rsidRPr="00E91267" w:rsidTr="00141C69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67" w:rsidRPr="00E91267" w:rsidRDefault="00E91267" w:rsidP="00E91267">
            <w:pPr>
              <w:spacing w:after="0" w:line="240" w:lineRule="auto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Skurvsjøen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4.70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267" w:rsidRPr="00E91267" w:rsidRDefault="00E91267" w:rsidP="00E912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91267">
              <w:rPr>
                <w:rFonts w:eastAsia="Times New Roman" w:cs="Arial"/>
              </w:rPr>
              <w:t>14.5</w:t>
            </w:r>
          </w:p>
        </w:tc>
      </w:tr>
    </w:tbl>
    <w:p w:rsidR="00E91267" w:rsidRPr="00E91267" w:rsidRDefault="00E91267" w:rsidP="00E91267"/>
    <w:p w:rsidR="00E91267" w:rsidRPr="00C43112" w:rsidRDefault="00E91267" w:rsidP="00E91267">
      <w:pPr>
        <w:rPr>
          <w:rFonts w:cs="Arial"/>
          <w:sz w:val="24"/>
          <w:szCs w:val="24"/>
          <w:lang w:val="nn-NO"/>
        </w:rPr>
      </w:pPr>
      <w:r w:rsidRPr="00C43112">
        <w:rPr>
          <w:rFonts w:cs="Arial"/>
          <w:b/>
          <w:i/>
          <w:sz w:val="24"/>
          <w:szCs w:val="24"/>
          <w:lang w:val="nn-NO"/>
        </w:rPr>
        <w:t>Tabell 2</w:t>
      </w:r>
      <w:r w:rsidRPr="00C43112">
        <w:rPr>
          <w:rFonts w:cs="Arial"/>
          <w:i/>
          <w:sz w:val="24"/>
          <w:szCs w:val="24"/>
          <w:lang w:val="nn-NO"/>
        </w:rPr>
        <w:t>. Atomvekta til ulike grunnstoffer</w:t>
      </w:r>
      <w:r w:rsidRPr="00C43112">
        <w:rPr>
          <w:rFonts w:cs="Arial"/>
          <w:sz w:val="24"/>
          <w:szCs w:val="24"/>
          <w:lang w:val="nn-NO"/>
        </w:rPr>
        <w:t>:</w:t>
      </w:r>
    </w:p>
    <w:tbl>
      <w:tblPr>
        <w:tblStyle w:val="Tabellrutenett1"/>
        <w:tblW w:w="0" w:type="auto"/>
        <w:tblInd w:w="108" w:type="dxa"/>
        <w:tblLook w:val="04A0" w:firstRow="1" w:lastRow="0" w:firstColumn="1" w:lastColumn="0" w:noHBand="0" w:noVBand="1"/>
      </w:tblPr>
      <w:tblGrid>
        <w:gridCol w:w="1313"/>
        <w:gridCol w:w="354"/>
        <w:gridCol w:w="440"/>
        <w:gridCol w:w="606"/>
        <w:gridCol w:w="464"/>
        <w:gridCol w:w="440"/>
        <w:gridCol w:w="440"/>
        <w:gridCol w:w="440"/>
        <w:gridCol w:w="606"/>
        <w:gridCol w:w="440"/>
        <w:gridCol w:w="440"/>
      </w:tblGrid>
      <w:tr w:rsidR="00E91267" w:rsidRPr="00E91267" w:rsidTr="00141C69">
        <w:tc>
          <w:tcPr>
            <w:tcW w:w="1313" w:type="dxa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Grunnstoff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H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Ca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Mg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Na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K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Al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S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Cl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N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O</w:t>
            </w:r>
          </w:p>
        </w:tc>
      </w:tr>
      <w:tr w:rsidR="00E91267" w:rsidRPr="00E91267" w:rsidTr="00141C69">
        <w:tc>
          <w:tcPr>
            <w:tcW w:w="1313" w:type="dxa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Molekylvekt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40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24,3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23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39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27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32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35,5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14</w:t>
            </w:r>
          </w:p>
        </w:tc>
        <w:tc>
          <w:tcPr>
            <w:tcW w:w="0" w:type="auto"/>
          </w:tcPr>
          <w:p w:rsidR="00E91267" w:rsidRPr="00E91267" w:rsidRDefault="00E91267" w:rsidP="00E91267">
            <w:pPr>
              <w:rPr>
                <w:rFonts w:cs="Arial"/>
              </w:rPr>
            </w:pPr>
            <w:r w:rsidRPr="00E91267">
              <w:rPr>
                <w:rFonts w:cs="Arial"/>
              </w:rPr>
              <w:t>16</w:t>
            </w:r>
          </w:p>
        </w:tc>
      </w:tr>
    </w:tbl>
    <w:p w:rsidR="00E91267" w:rsidRPr="00E91267" w:rsidRDefault="00E91267" w:rsidP="00E91267"/>
    <w:p w:rsidR="00E91267" w:rsidRPr="00C43112" w:rsidRDefault="00E91267" w:rsidP="00E91267">
      <w:pPr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I tillegg antar vi at:</w:t>
      </w:r>
    </w:p>
    <w:p w:rsidR="00E91267" w:rsidRPr="00C43112" w:rsidRDefault="00E91267" w:rsidP="00E9126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Konsentrasjonen av uorganisk aluminium (LAL) forekommer som Al</w:t>
      </w:r>
      <w:r w:rsidRPr="00C43112">
        <w:rPr>
          <w:rFonts w:cs="Arial"/>
          <w:sz w:val="24"/>
          <w:szCs w:val="24"/>
          <w:vertAlign w:val="superscript"/>
        </w:rPr>
        <w:t>3+</w:t>
      </w:r>
      <w:r w:rsidRPr="00C43112">
        <w:rPr>
          <w:rFonts w:cs="Arial"/>
          <w:sz w:val="24"/>
          <w:szCs w:val="24"/>
        </w:rPr>
        <w:t xml:space="preserve">.  </w:t>
      </w:r>
    </w:p>
    <w:p w:rsidR="00E91267" w:rsidRPr="00C43112" w:rsidRDefault="00E91267" w:rsidP="00E9126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Konsentrasjonen (i</w:t>
      </w:r>
      <w:r w:rsidRPr="00C43112">
        <w:rPr>
          <w:rFonts w:ascii="Symbol" w:hAnsi="Symbol" w:cs="Arial"/>
          <w:sz w:val="24"/>
          <w:szCs w:val="24"/>
        </w:rPr>
        <w:t></w:t>
      </w:r>
      <w:r w:rsidRPr="00C43112">
        <w:rPr>
          <w:rFonts w:ascii="Symbol" w:hAnsi="Symbol" w:cs="Arial"/>
          <w:sz w:val="24"/>
          <w:szCs w:val="24"/>
        </w:rPr>
        <w:t></w:t>
      </w:r>
      <w:r w:rsidRPr="00C43112">
        <w:rPr>
          <w:rFonts w:cs="Arial"/>
          <w:sz w:val="24"/>
          <w:szCs w:val="24"/>
        </w:rPr>
        <w:t>ekv L</w:t>
      </w:r>
      <w:r w:rsidRPr="00C43112">
        <w:rPr>
          <w:rFonts w:cs="Arial"/>
          <w:sz w:val="24"/>
          <w:szCs w:val="24"/>
          <w:vertAlign w:val="superscript"/>
        </w:rPr>
        <w:t>-1</w:t>
      </w:r>
      <w:r w:rsidRPr="00C43112">
        <w:rPr>
          <w:rFonts w:cs="Arial"/>
          <w:sz w:val="24"/>
          <w:szCs w:val="24"/>
        </w:rPr>
        <w:t>) av organiske anioner (A</w:t>
      </w:r>
      <w:r w:rsidRPr="00C43112">
        <w:rPr>
          <w:rFonts w:cs="Arial"/>
          <w:sz w:val="24"/>
          <w:szCs w:val="24"/>
          <w:vertAlign w:val="superscript"/>
        </w:rPr>
        <w:t>-</w:t>
      </w:r>
      <w:r w:rsidRPr="00C43112">
        <w:rPr>
          <w:rFonts w:cs="Arial"/>
          <w:sz w:val="24"/>
          <w:szCs w:val="24"/>
        </w:rPr>
        <w:t>) som alltid er negativ ladd, beregnes på følgende måte: [A</w:t>
      </w:r>
      <w:r w:rsidRPr="00C43112">
        <w:rPr>
          <w:rFonts w:cs="Arial"/>
          <w:sz w:val="24"/>
          <w:szCs w:val="24"/>
          <w:vertAlign w:val="superscript"/>
        </w:rPr>
        <w:t>-</w:t>
      </w:r>
      <w:r w:rsidRPr="00C43112">
        <w:rPr>
          <w:rFonts w:cs="Arial"/>
          <w:sz w:val="24"/>
          <w:szCs w:val="24"/>
        </w:rPr>
        <w:t>] = TOC*10,2/3.</w:t>
      </w:r>
    </w:p>
    <w:p w:rsidR="00E91267" w:rsidRPr="00C43112" w:rsidRDefault="00E91267" w:rsidP="00E91267">
      <w:pPr>
        <w:rPr>
          <w:sz w:val="24"/>
          <w:szCs w:val="24"/>
        </w:rPr>
      </w:pPr>
    </w:p>
    <w:p w:rsidR="00E91267" w:rsidRPr="00C43112" w:rsidRDefault="004948E7" w:rsidP="00E91267">
      <w:pPr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3.</w:t>
      </w:r>
      <w:r w:rsidR="001E4023">
        <w:rPr>
          <w:rFonts w:cs="Arial"/>
          <w:sz w:val="24"/>
          <w:szCs w:val="24"/>
        </w:rPr>
        <w:t>b</w:t>
      </w:r>
      <w:r w:rsidRPr="00C43112">
        <w:rPr>
          <w:rFonts w:cs="Arial"/>
          <w:sz w:val="24"/>
          <w:szCs w:val="24"/>
        </w:rPr>
        <w:t xml:space="preserve">) </w:t>
      </w:r>
      <w:r w:rsidR="00E91267" w:rsidRPr="00C43112">
        <w:rPr>
          <w:rFonts w:cs="Arial"/>
          <w:sz w:val="24"/>
          <w:szCs w:val="24"/>
        </w:rPr>
        <w:t xml:space="preserve">Omgjør alle konsentrasjonene i </w:t>
      </w:r>
      <w:r w:rsidR="00E91267" w:rsidRPr="00C43112">
        <w:rPr>
          <w:rFonts w:cs="Arial"/>
          <w:b/>
          <w:i/>
          <w:sz w:val="24"/>
          <w:szCs w:val="24"/>
        </w:rPr>
        <w:t>Tabell 1</w:t>
      </w:r>
      <w:r w:rsidR="00E91267" w:rsidRPr="00C43112">
        <w:rPr>
          <w:rFonts w:cs="Arial"/>
          <w:sz w:val="24"/>
          <w:szCs w:val="24"/>
        </w:rPr>
        <w:t xml:space="preserve"> til </w:t>
      </w:r>
      <w:r w:rsidR="00E91267" w:rsidRPr="00C43112">
        <w:rPr>
          <w:rFonts w:ascii="Symbol" w:hAnsi="Symbol" w:cs="Arial"/>
          <w:sz w:val="24"/>
          <w:szCs w:val="24"/>
        </w:rPr>
        <w:t></w:t>
      </w:r>
      <w:r w:rsidR="00E91267" w:rsidRPr="00C43112">
        <w:rPr>
          <w:rFonts w:cs="Arial"/>
          <w:sz w:val="24"/>
          <w:szCs w:val="24"/>
        </w:rPr>
        <w:t>ekv</w:t>
      </w:r>
      <w:r w:rsidR="00C006C3" w:rsidRPr="00C43112">
        <w:rPr>
          <w:rFonts w:cs="Arial"/>
          <w:sz w:val="24"/>
          <w:szCs w:val="24"/>
        </w:rPr>
        <w:t>/</w:t>
      </w:r>
      <w:r w:rsidR="00E91267" w:rsidRPr="00C43112">
        <w:rPr>
          <w:rFonts w:cs="Arial"/>
          <w:sz w:val="24"/>
          <w:szCs w:val="24"/>
        </w:rPr>
        <w:t xml:space="preserve">L, og </w:t>
      </w:r>
      <w:r w:rsidR="00C006C3" w:rsidRPr="00C43112">
        <w:rPr>
          <w:rFonts w:cs="Arial"/>
          <w:sz w:val="24"/>
          <w:szCs w:val="24"/>
        </w:rPr>
        <w:t>be</w:t>
      </w:r>
      <w:r w:rsidR="00E91267" w:rsidRPr="00C43112">
        <w:rPr>
          <w:rFonts w:cs="Arial"/>
          <w:sz w:val="24"/>
          <w:szCs w:val="24"/>
        </w:rPr>
        <w:t>regn vannenes syrenøytraliseringskapasitet, ANC-1</w:t>
      </w:r>
      <w:r w:rsidR="00DB1643">
        <w:rPr>
          <w:rFonts w:cs="Arial"/>
          <w:sz w:val="24"/>
          <w:szCs w:val="24"/>
        </w:rPr>
        <w:t xml:space="preserve"> </w:t>
      </w:r>
      <w:r w:rsidR="00E91267" w:rsidRPr="00C43112">
        <w:rPr>
          <w:rFonts w:cs="Arial"/>
          <w:sz w:val="24"/>
          <w:szCs w:val="24"/>
        </w:rPr>
        <w:t xml:space="preserve">(uten organiske anioner) og ANC-2 (med organiske anioner). Presenter disse dataene i egen tabell. Du har bruk for molekylvekter for grunnstoffer angitt i </w:t>
      </w:r>
      <w:r w:rsidR="00E91267" w:rsidRPr="00C43112">
        <w:rPr>
          <w:rFonts w:cs="Arial"/>
          <w:b/>
          <w:i/>
          <w:sz w:val="24"/>
          <w:szCs w:val="24"/>
        </w:rPr>
        <w:t>Tabell 2</w:t>
      </w:r>
      <w:r w:rsidR="00E91267" w:rsidRPr="00C43112">
        <w:rPr>
          <w:rFonts w:cs="Arial"/>
          <w:sz w:val="24"/>
          <w:szCs w:val="24"/>
        </w:rPr>
        <w:t>, samt tilleggsinformasjonen om LAL og [A</w:t>
      </w:r>
      <w:r w:rsidR="00E91267" w:rsidRPr="00C43112">
        <w:rPr>
          <w:rFonts w:cs="Arial"/>
          <w:sz w:val="24"/>
          <w:szCs w:val="24"/>
          <w:vertAlign w:val="superscript"/>
        </w:rPr>
        <w:t>-</w:t>
      </w:r>
      <w:r w:rsidR="00E91267" w:rsidRPr="00C43112">
        <w:rPr>
          <w:rFonts w:cs="Arial"/>
          <w:sz w:val="24"/>
          <w:szCs w:val="24"/>
        </w:rPr>
        <w:t>] (organiske anioner) som angitt over.</w:t>
      </w:r>
    </w:p>
    <w:p w:rsidR="00F00E59" w:rsidRDefault="00F00E59" w:rsidP="00E91267">
      <w:pPr>
        <w:rPr>
          <w:rFonts w:cs="Arial"/>
          <w:sz w:val="24"/>
          <w:szCs w:val="24"/>
        </w:rPr>
      </w:pPr>
    </w:p>
    <w:p w:rsidR="00E91267" w:rsidRPr="00C43112" w:rsidRDefault="00E91267" w:rsidP="00E91267">
      <w:pPr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3.</w:t>
      </w:r>
      <w:r w:rsidR="001E4023">
        <w:rPr>
          <w:rFonts w:cs="Arial"/>
          <w:sz w:val="24"/>
          <w:szCs w:val="24"/>
        </w:rPr>
        <w:t>c</w:t>
      </w:r>
      <w:r w:rsidR="00C006C3" w:rsidRPr="00C43112">
        <w:rPr>
          <w:rFonts w:cs="Arial"/>
          <w:sz w:val="24"/>
          <w:szCs w:val="24"/>
        </w:rPr>
        <w:t>)</w:t>
      </w:r>
      <w:r w:rsidRPr="00C43112">
        <w:rPr>
          <w:rFonts w:cs="Arial"/>
          <w:sz w:val="24"/>
          <w:szCs w:val="24"/>
        </w:rPr>
        <w:t xml:space="preserve"> En av innsjøene ligger nær kysten i Rogaland (142 m</w:t>
      </w:r>
      <w:r w:rsidR="00DB1643">
        <w:rPr>
          <w:rFonts w:cs="Arial"/>
          <w:sz w:val="24"/>
          <w:szCs w:val="24"/>
        </w:rPr>
        <w:t>.</w:t>
      </w:r>
      <w:r w:rsidRPr="00C43112">
        <w:rPr>
          <w:rFonts w:cs="Arial"/>
          <w:sz w:val="24"/>
          <w:szCs w:val="24"/>
        </w:rPr>
        <w:t>o.h. i Hå kommune), en høyt til fjells i Oppland (1018 m</w:t>
      </w:r>
      <w:r w:rsidR="00DB1643">
        <w:rPr>
          <w:rFonts w:cs="Arial"/>
          <w:sz w:val="24"/>
          <w:szCs w:val="24"/>
        </w:rPr>
        <w:t>.</w:t>
      </w:r>
      <w:r w:rsidRPr="00C43112">
        <w:rPr>
          <w:rFonts w:cs="Arial"/>
          <w:sz w:val="24"/>
          <w:szCs w:val="24"/>
        </w:rPr>
        <w:t>o.h. i Lesja kommune) og en i innlandet i Hedmark fylke (432 m</w:t>
      </w:r>
      <w:r w:rsidR="00DB1643">
        <w:rPr>
          <w:rFonts w:cs="Arial"/>
          <w:sz w:val="24"/>
          <w:szCs w:val="24"/>
        </w:rPr>
        <w:t>.</w:t>
      </w:r>
      <w:r w:rsidRPr="00C43112">
        <w:rPr>
          <w:rFonts w:cs="Arial"/>
          <w:sz w:val="24"/>
          <w:szCs w:val="24"/>
        </w:rPr>
        <w:t xml:space="preserve">o.h. i Nord-Odal kommune). Hvilke vann i </w:t>
      </w:r>
      <w:r w:rsidR="00570F2F" w:rsidRPr="00570F2F">
        <w:rPr>
          <w:rFonts w:cs="Arial"/>
          <w:b/>
          <w:i/>
          <w:sz w:val="24"/>
          <w:szCs w:val="24"/>
        </w:rPr>
        <w:t xml:space="preserve">Tabell </w:t>
      </w:r>
      <w:r w:rsidRPr="00570F2F">
        <w:rPr>
          <w:rFonts w:cs="Arial"/>
          <w:b/>
          <w:i/>
          <w:sz w:val="24"/>
          <w:szCs w:val="24"/>
        </w:rPr>
        <w:t>1</w:t>
      </w:r>
      <w:r w:rsidRPr="00C43112">
        <w:rPr>
          <w:rFonts w:cs="Arial"/>
          <w:sz w:val="24"/>
          <w:szCs w:val="24"/>
        </w:rPr>
        <w:t xml:space="preserve"> ligger i </w:t>
      </w:r>
      <w:r w:rsidR="00DB1643">
        <w:rPr>
          <w:rFonts w:cs="Arial"/>
          <w:sz w:val="24"/>
          <w:szCs w:val="24"/>
        </w:rPr>
        <w:t xml:space="preserve">henholdsvis </w:t>
      </w:r>
      <w:r w:rsidRPr="00C43112">
        <w:rPr>
          <w:rFonts w:cs="Arial"/>
          <w:sz w:val="24"/>
          <w:szCs w:val="24"/>
        </w:rPr>
        <w:t>Rogaland, Oppland og Hedmark fylke? Begrunn også hvorfor.</w:t>
      </w:r>
    </w:p>
    <w:p w:rsidR="00F00E59" w:rsidRDefault="00F00E59" w:rsidP="00E91267">
      <w:pPr>
        <w:rPr>
          <w:rFonts w:cs="Arial"/>
          <w:sz w:val="24"/>
          <w:szCs w:val="24"/>
        </w:rPr>
      </w:pPr>
    </w:p>
    <w:p w:rsidR="00E91267" w:rsidRPr="00C43112" w:rsidRDefault="00E91267" w:rsidP="00E91267">
      <w:pPr>
        <w:rPr>
          <w:rFonts w:cs="Arial"/>
          <w:sz w:val="24"/>
          <w:szCs w:val="24"/>
        </w:rPr>
      </w:pPr>
      <w:r w:rsidRPr="00C43112">
        <w:rPr>
          <w:rFonts w:cs="Arial"/>
          <w:sz w:val="24"/>
          <w:szCs w:val="24"/>
        </w:rPr>
        <w:t>3.</w:t>
      </w:r>
      <w:r w:rsidR="001E4023">
        <w:rPr>
          <w:rFonts w:cs="Arial"/>
          <w:sz w:val="24"/>
          <w:szCs w:val="24"/>
        </w:rPr>
        <w:t>d</w:t>
      </w:r>
      <w:r w:rsidR="00C006C3" w:rsidRPr="00C43112">
        <w:rPr>
          <w:rFonts w:cs="Arial"/>
          <w:sz w:val="24"/>
          <w:szCs w:val="24"/>
        </w:rPr>
        <w:t>)</w:t>
      </w:r>
      <w:r w:rsidRPr="00C43112">
        <w:rPr>
          <w:rFonts w:cs="Arial"/>
          <w:sz w:val="24"/>
          <w:szCs w:val="24"/>
        </w:rPr>
        <w:t xml:space="preserve"> Bruk pH, uorganisk Al (LAL), ANC-1 og ANC-2 til å vurdere fiskestatus i lokalitetene.</w:t>
      </w:r>
    </w:p>
    <w:sectPr w:rsidR="00E91267" w:rsidRPr="00C431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8D" w:rsidRDefault="0014628D" w:rsidP="005E464D">
      <w:pPr>
        <w:spacing w:after="0" w:line="240" w:lineRule="auto"/>
      </w:pPr>
      <w:r>
        <w:separator/>
      </w:r>
    </w:p>
  </w:endnote>
  <w:endnote w:type="continuationSeparator" w:id="0">
    <w:p w:rsidR="0014628D" w:rsidRDefault="0014628D" w:rsidP="005E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38037"/>
      <w:docPartObj>
        <w:docPartGallery w:val="Page Numbers (Bottom of Page)"/>
        <w:docPartUnique/>
      </w:docPartObj>
    </w:sdtPr>
    <w:sdtEndPr/>
    <w:sdtContent>
      <w:p w:rsidR="005E464D" w:rsidRDefault="005E464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1</w:t>
        </w:r>
        <w:r>
          <w:fldChar w:fldCharType="end"/>
        </w:r>
      </w:p>
    </w:sdtContent>
  </w:sdt>
  <w:p w:rsidR="005E464D" w:rsidRDefault="005E46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8D" w:rsidRDefault="0014628D" w:rsidP="005E464D">
      <w:pPr>
        <w:spacing w:after="0" w:line="240" w:lineRule="auto"/>
      </w:pPr>
      <w:r>
        <w:separator/>
      </w:r>
    </w:p>
  </w:footnote>
  <w:footnote w:type="continuationSeparator" w:id="0">
    <w:p w:rsidR="0014628D" w:rsidRDefault="0014628D" w:rsidP="005E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26A"/>
    <w:multiLevelType w:val="hybridMultilevel"/>
    <w:tmpl w:val="EA3C80BC"/>
    <w:lvl w:ilvl="0" w:tplc="3E48E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A93A0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C6D2E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7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C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2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0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E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E08A9"/>
    <w:multiLevelType w:val="hybridMultilevel"/>
    <w:tmpl w:val="E6E8F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312B"/>
    <w:multiLevelType w:val="hybridMultilevel"/>
    <w:tmpl w:val="D2E06210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835FF8"/>
    <w:multiLevelType w:val="hybridMultilevel"/>
    <w:tmpl w:val="D35C28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6A6DC7"/>
    <w:multiLevelType w:val="multilevel"/>
    <w:tmpl w:val="7DB4EE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3C6314"/>
    <w:multiLevelType w:val="hybridMultilevel"/>
    <w:tmpl w:val="8A7C2FAA"/>
    <w:lvl w:ilvl="0" w:tplc="0C90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67A5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B2A2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4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4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6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1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0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8F47EF"/>
    <w:multiLevelType w:val="multilevel"/>
    <w:tmpl w:val="A9465D8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C019C4"/>
    <w:multiLevelType w:val="hybridMultilevel"/>
    <w:tmpl w:val="DB40B3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39B1"/>
    <w:multiLevelType w:val="hybridMultilevel"/>
    <w:tmpl w:val="DB981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15DF"/>
    <w:multiLevelType w:val="multilevel"/>
    <w:tmpl w:val="67FEEB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657F8B"/>
    <w:multiLevelType w:val="multilevel"/>
    <w:tmpl w:val="AA46AA4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1D4AC4"/>
    <w:multiLevelType w:val="hybridMultilevel"/>
    <w:tmpl w:val="2AC4278E"/>
    <w:lvl w:ilvl="0" w:tplc="BBF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8AB02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878E8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A834E">
      <w:start w:val="17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CAF1E">
      <w:start w:val="17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2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A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2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0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011967"/>
    <w:multiLevelType w:val="multilevel"/>
    <w:tmpl w:val="51CE9F6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947A6B"/>
    <w:multiLevelType w:val="hybridMultilevel"/>
    <w:tmpl w:val="60D64D6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122BC"/>
    <w:multiLevelType w:val="multilevel"/>
    <w:tmpl w:val="7876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7875D2"/>
    <w:multiLevelType w:val="hybridMultilevel"/>
    <w:tmpl w:val="9790D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7645"/>
    <w:multiLevelType w:val="multilevel"/>
    <w:tmpl w:val="21C856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170F90"/>
    <w:multiLevelType w:val="hybridMultilevel"/>
    <w:tmpl w:val="860E5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57CFB"/>
    <w:multiLevelType w:val="multilevel"/>
    <w:tmpl w:val="0E9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32CC0"/>
    <w:multiLevelType w:val="multilevel"/>
    <w:tmpl w:val="0FB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765FF"/>
    <w:multiLevelType w:val="hybridMultilevel"/>
    <w:tmpl w:val="7B62DB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82F3E"/>
    <w:multiLevelType w:val="multilevel"/>
    <w:tmpl w:val="31DC267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9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21"/>
  </w:num>
  <w:num w:numId="10">
    <w:abstractNumId w:val="6"/>
  </w:num>
  <w:num w:numId="11">
    <w:abstractNumId w:val="19"/>
  </w:num>
  <w:num w:numId="12">
    <w:abstractNumId w:val="18"/>
  </w:num>
  <w:num w:numId="13">
    <w:abstractNumId w:val="7"/>
  </w:num>
  <w:num w:numId="14">
    <w:abstractNumId w:val="20"/>
  </w:num>
  <w:num w:numId="15">
    <w:abstractNumId w:val="2"/>
  </w:num>
  <w:num w:numId="16">
    <w:abstractNumId w:val="11"/>
  </w:num>
  <w:num w:numId="17">
    <w:abstractNumId w:val="0"/>
  </w:num>
  <w:num w:numId="18">
    <w:abstractNumId w:val="5"/>
  </w:num>
  <w:num w:numId="19">
    <w:abstractNumId w:val="13"/>
  </w:num>
  <w:num w:numId="20">
    <w:abstractNumId w:val="12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6"/>
    <w:rsid w:val="00001E1E"/>
    <w:rsid w:val="0002048B"/>
    <w:rsid w:val="00027187"/>
    <w:rsid w:val="0005294C"/>
    <w:rsid w:val="00082692"/>
    <w:rsid w:val="00082DD2"/>
    <w:rsid w:val="0009111F"/>
    <w:rsid w:val="000D1C36"/>
    <w:rsid w:val="000F5CE5"/>
    <w:rsid w:val="001035A3"/>
    <w:rsid w:val="001164D4"/>
    <w:rsid w:val="00121DD7"/>
    <w:rsid w:val="001242D5"/>
    <w:rsid w:val="0014628D"/>
    <w:rsid w:val="00151267"/>
    <w:rsid w:val="001948F6"/>
    <w:rsid w:val="001C0496"/>
    <w:rsid w:val="001C1081"/>
    <w:rsid w:val="001C2623"/>
    <w:rsid w:val="001D42B7"/>
    <w:rsid w:val="001D4EE5"/>
    <w:rsid w:val="001E4023"/>
    <w:rsid w:val="001F48AF"/>
    <w:rsid w:val="00232F6B"/>
    <w:rsid w:val="00263C33"/>
    <w:rsid w:val="0027389F"/>
    <w:rsid w:val="00285824"/>
    <w:rsid w:val="00304BBE"/>
    <w:rsid w:val="00306282"/>
    <w:rsid w:val="00312A95"/>
    <w:rsid w:val="00312D3E"/>
    <w:rsid w:val="00350594"/>
    <w:rsid w:val="003600F3"/>
    <w:rsid w:val="003E188E"/>
    <w:rsid w:val="003F4FB3"/>
    <w:rsid w:val="00404CEC"/>
    <w:rsid w:val="00431209"/>
    <w:rsid w:val="00441746"/>
    <w:rsid w:val="00474897"/>
    <w:rsid w:val="00490A66"/>
    <w:rsid w:val="0049124E"/>
    <w:rsid w:val="004948E7"/>
    <w:rsid w:val="004A2621"/>
    <w:rsid w:val="004C513E"/>
    <w:rsid w:val="004C7430"/>
    <w:rsid w:val="005232DB"/>
    <w:rsid w:val="005237A2"/>
    <w:rsid w:val="00526765"/>
    <w:rsid w:val="00541B79"/>
    <w:rsid w:val="00570F2F"/>
    <w:rsid w:val="00574939"/>
    <w:rsid w:val="00587FE3"/>
    <w:rsid w:val="00590ADA"/>
    <w:rsid w:val="005B4A58"/>
    <w:rsid w:val="005D2AE4"/>
    <w:rsid w:val="005E3E53"/>
    <w:rsid w:val="005E464D"/>
    <w:rsid w:val="00612BD0"/>
    <w:rsid w:val="00630B34"/>
    <w:rsid w:val="00631C08"/>
    <w:rsid w:val="00653E8F"/>
    <w:rsid w:val="00662D2F"/>
    <w:rsid w:val="006743BD"/>
    <w:rsid w:val="00686B93"/>
    <w:rsid w:val="006A21C0"/>
    <w:rsid w:val="006E0D31"/>
    <w:rsid w:val="007255CD"/>
    <w:rsid w:val="00730689"/>
    <w:rsid w:val="00735119"/>
    <w:rsid w:val="00736EF4"/>
    <w:rsid w:val="00744C7D"/>
    <w:rsid w:val="00751026"/>
    <w:rsid w:val="007632AA"/>
    <w:rsid w:val="00837ECD"/>
    <w:rsid w:val="0084654E"/>
    <w:rsid w:val="00853272"/>
    <w:rsid w:val="008809F0"/>
    <w:rsid w:val="00892C2F"/>
    <w:rsid w:val="00893A0E"/>
    <w:rsid w:val="008A55F0"/>
    <w:rsid w:val="008B6800"/>
    <w:rsid w:val="008C2D19"/>
    <w:rsid w:val="008E44AF"/>
    <w:rsid w:val="008E75E1"/>
    <w:rsid w:val="008F0BE4"/>
    <w:rsid w:val="008F121A"/>
    <w:rsid w:val="008F59BC"/>
    <w:rsid w:val="00917B11"/>
    <w:rsid w:val="00944C96"/>
    <w:rsid w:val="009458C5"/>
    <w:rsid w:val="00954E54"/>
    <w:rsid w:val="009A5958"/>
    <w:rsid w:val="009B3E82"/>
    <w:rsid w:val="009C2473"/>
    <w:rsid w:val="009F43B1"/>
    <w:rsid w:val="00A07820"/>
    <w:rsid w:val="00A2254C"/>
    <w:rsid w:val="00A35626"/>
    <w:rsid w:val="00A84654"/>
    <w:rsid w:val="00AB433B"/>
    <w:rsid w:val="00AC3B3E"/>
    <w:rsid w:val="00AE7BC5"/>
    <w:rsid w:val="00B12CBB"/>
    <w:rsid w:val="00B13310"/>
    <w:rsid w:val="00B56509"/>
    <w:rsid w:val="00B65354"/>
    <w:rsid w:val="00B67B19"/>
    <w:rsid w:val="00B963B2"/>
    <w:rsid w:val="00BA4111"/>
    <w:rsid w:val="00C006C3"/>
    <w:rsid w:val="00C11640"/>
    <w:rsid w:val="00C32A9E"/>
    <w:rsid w:val="00C43112"/>
    <w:rsid w:val="00C55736"/>
    <w:rsid w:val="00C610EE"/>
    <w:rsid w:val="00C906BD"/>
    <w:rsid w:val="00C93915"/>
    <w:rsid w:val="00C97076"/>
    <w:rsid w:val="00CA4D77"/>
    <w:rsid w:val="00CB042A"/>
    <w:rsid w:val="00CB50B8"/>
    <w:rsid w:val="00CC08A2"/>
    <w:rsid w:val="00CF6228"/>
    <w:rsid w:val="00D04607"/>
    <w:rsid w:val="00D82C8F"/>
    <w:rsid w:val="00D83839"/>
    <w:rsid w:val="00D97FAA"/>
    <w:rsid w:val="00DA6AC1"/>
    <w:rsid w:val="00DB1643"/>
    <w:rsid w:val="00DC2E4C"/>
    <w:rsid w:val="00DC347C"/>
    <w:rsid w:val="00DC5452"/>
    <w:rsid w:val="00DC7233"/>
    <w:rsid w:val="00DE38B8"/>
    <w:rsid w:val="00DF2D10"/>
    <w:rsid w:val="00E32FF6"/>
    <w:rsid w:val="00E91267"/>
    <w:rsid w:val="00E97173"/>
    <w:rsid w:val="00EA0EB5"/>
    <w:rsid w:val="00EA70EC"/>
    <w:rsid w:val="00EB45D5"/>
    <w:rsid w:val="00F00E59"/>
    <w:rsid w:val="00F06A66"/>
    <w:rsid w:val="00F15626"/>
    <w:rsid w:val="00F45162"/>
    <w:rsid w:val="00F51A1D"/>
    <w:rsid w:val="00F638C6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0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B9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035A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E464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5E464D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E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64D"/>
  </w:style>
  <w:style w:type="table" w:customStyle="1" w:styleId="Tabellrutenett1">
    <w:name w:val="Tabellrutenett1"/>
    <w:basedOn w:val="Vanligtabell"/>
    <w:next w:val="Tabellrutenett"/>
    <w:uiPriority w:val="59"/>
    <w:rsid w:val="00E9126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242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42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42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42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42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0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B9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035A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E464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5E464D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E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64D"/>
  </w:style>
  <w:style w:type="table" w:customStyle="1" w:styleId="Tabellrutenett1">
    <w:name w:val="Tabellrutenett1"/>
    <w:basedOn w:val="Vanligtabell"/>
    <w:next w:val="Tabellrutenett"/>
    <w:uiPriority w:val="59"/>
    <w:rsid w:val="00E9126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242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42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42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42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4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4012-39B2-4192-9ED8-7DAC6096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lydersen</dc:creator>
  <cp:lastModifiedBy>Ingrid R Bakkeland</cp:lastModifiedBy>
  <cp:revision>2</cp:revision>
  <cp:lastPrinted>2013-11-06T13:35:00Z</cp:lastPrinted>
  <dcterms:created xsi:type="dcterms:W3CDTF">2014-11-07T08:16:00Z</dcterms:created>
  <dcterms:modified xsi:type="dcterms:W3CDTF">2014-11-07T08:16:00Z</dcterms:modified>
</cp:coreProperties>
</file>